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svg" ContentType="image/svg+xml"/>
  <Override PartName="/word/media/rId91.svg" ContentType="image/svg+xml"/>
  <Override PartName="/word/media/rId76.svg" ContentType="image/svg+xml"/>
  <Override PartName="/word/media/rId81.svg" ContentType="image/svg+xml"/>
  <Override PartName="/word/media/rId56.svg" ContentType="image/svg+xml"/>
  <Override PartName="/word/media/rId61.svg" ContentType="image/svg+xml"/>
  <Override PartName="/word/media/rId71.svg" ContentType="image/svg+xml"/>
  <Override PartName="/word/media/rId86.svg" ContentType="image/svg+xml"/>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Override PartName="/word/media/rId59.png" ContentType="image/png"/>
  <Override PartName="/word/media/rId64.png" ContentType="image/png"/>
  <Override PartName="/word/media/rId69.png" ContentType="image/png"/>
  <Override PartName="/word/media/rId74.png" ContentType="image/png"/>
  <Override PartName="/word/media/rId79.png" ContentType="image/png"/>
  <Override PartName="/word/media/rId84.png" ContentType="image/png"/>
  <Override PartName="/word/media/rId89.png" ContentType="image/png"/>
  <Override PartName="/word/media/rId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jojoelfe/deco_lace_template_matching_manuscript@7e5fee3</w:t>
        </w:r>
      </w:hyperlink>
      <w:r>
        <w:t xml:space="preserve"> </w:t>
      </w:r>
      <w:r>
        <w:t xml:space="preserve">on March 9,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w:t>
      </w:r>
      <w:r>
        <w:t xml:space="preserve"> </w:t>
      </w:r>
      <w:r>
        <w:t xml:space="preserve">imaging. Fluorescence microscopy can localize biomolecules inside whole cells</w:t>
      </w:r>
      <w:r>
        <w:t xml:space="preserve"> </w:t>
      </w:r>
      <w:r>
        <w:t xml:space="preserve">and tissues, but its ability to count biomolecules and accuracy of the spatial</w:t>
      </w:r>
      <w:r>
        <w:t xml:space="preserve"> </w:t>
      </w:r>
      <w:r>
        <w:t xml:space="preserve">coordinates is limited by the wavelength of visible light. Cryo-electron</w:t>
      </w:r>
      <w:r>
        <w:t xml:space="preserve"> </w:t>
      </w:r>
      <w:r>
        <w:t xml:space="preserve">microscopy (cryo-EM) provides highly accurate position and orientation</w:t>
      </w:r>
      <w:r>
        <w:t xml:space="preserve"> </w:t>
      </w:r>
      <w:r>
        <w:t xml:space="preserve">information of biomolecules but is often confined to small fields of view inside</w:t>
      </w:r>
      <w:r>
        <w:t xml:space="preserve"> </w:t>
      </w:r>
      <w:r>
        <w:t xml:space="preserve">a cell, limiting biological context. In this study we use a new data-acquisition</w:t>
      </w:r>
      <w:r>
        <w:t xml:space="preserve"> </w:t>
      </w:r>
      <w:r>
        <w:t xml:space="preserve">scheme called</w:t>
      </w:r>
      <w:r>
        <w:t xml:space="preserve"> </w:t>
      </w:r>
      <w:r>
        <w:t xml:space="preserve">“</w:t>
      </w:r>
      <w:r>
        <w:t xml:space="preserve">Defocus-Corrected Large-Area cryo-EM</w:t>
      </w:r>
      <w:r>
        <w:t xml:space="preserve">”</w:t>
      </w:r>
      <w:r>
        <w:t xml:space="preserve"> </w:t>
      </w:r>
      <w:r>
        <w:t xml:space="preserve">(DeCo-LACE) to collect</w:t>
      </w:r>
      <w:r>
        <w:t xml:space="preserve"> </w:t>
      </w:r>
      <w:r>
        <w:t xml:space="preserve">high-resolution cryo-EM data over entire sections (100 – 200 nm thick lamellae)</w:t>
      </w:r>
      <w:r>
        <w:t xml:space="preserve"> </w:t>
      </w:r>
      <w:r>
        <w:t xml:space="preserve">of neutrophil-like mouse cells, representing roughly 1% of the total cellular</w:t>
      </w:r>
      <w:r>
        <w:t xml:space="preserve"> </w:t>
      </w:r>
      <w:r>
        <w:t xml:space="preserve">volume. We use 2D template matching (2DTM) to determine localization and orientation</w:t>
      </w:r>
      <w:r>
        <w:t xml:space="preserve"> </w:t>
      </w:r>
      <w:r>
        <w:t xml:space="preserve">of the large ribosomal subunit in these sections, detect bound small</w:t>
      </w:r>
      <w:r>
        <w:t xml:space="preserve"> </w:t>
      </w:r>
      <w:r>
        <w:t xml:space="preserve">ribosomal subunits and assign ribosomes to polysomes based on their relative orientations to each other. These data provide</w:t>
      </w:r>
      <w:r>
        <w:t xml:space="preserve"> </w:t>
      </w:r>
      <w:r>
        <w:t xml:space="preserve">“</w:t>
      </w:r>
      <w:r>
        <w:t xml:space="preserve">maps</w:t>
      </w:r>
      <w:r>
        <w:t xml:space="preserve">”</w:t>
      </w:r>
      <w:r>
        <w:t xml:space="preserve"> </w:t>
      </w:r>
      <w:r>
        <w:t xml:space="preserve">of translational activity across</w:t>
      </w:r>
      <w:r>
        <w:t xml:space="preserve"> </w:t>
      </w:r>
      <w:r>
        <w:t xml:space="preserve">sections of mammalian cells. This new high-throughput cryo-EM</w:t>
      </w:r>
      <w:r>
        <w:t xml:space="preserve"> </w:t>
      </w:r>
      <w:r>
        <w:t xml:space="preserve">data collection approach together with 2DTM will advance visual</w:t>
      </w:r>
      <w:r>
        <w:t xml:space="preserve"> </w:t>
      </w:r>
      <w:r>
        <w:t xml:space="preserve">proteomics and complement other single-cell</w:t>
      </w:r>
      <w:r>
        <w:t xml:space="preserve"> </w:t>
      </w:r>
      <w:r>
        <w:t xml:space="preserve">“</w:t>
      </w:r>
      <w:r>
        <w:t xml:space="preserve">omics</w:t>
      </w:r>
      <w:r>
        <w:t xml:space="preserve">”</w:t>
      </w:r>
      <w:r>
        <w:t xml:space="preserve"> </w:t>
      </w:r>
      <w:r>
        <w:t xml:space="preserve">techniques, such as</w:t>
      </w:r>
      <w:r>
        <w:t xml:space="preserve"> </w:t>
      </w:r>
      <w:r>
        <w:t xml:space="preserve">flow-cytometry and single-cell sequencing.</w:t>
      </w:r>
    </w:p>
    <w:bookmarkEnd w:id="41"/>
    <w:bookmarkStart w:id="42" w:name="introduction"/>
    <w:p>
      <w:pPr>
        <w:pStyle w:val="Heading2"/>
      </w:pPr>
      <w:r>
        <w:t xml:space="preserve">Introduction</w:t>
      </w:r>
    </w:p>
    <w:p>
      <w:pPr>
        <w:pStyle w:val="FirstParagraph"/>
      </w:pPr>
      <w:r>
        <w:t xml:space="preserve">A major goal in understanding cellular processes is the knowledge of the</w:t>
      </w:r>
      <w:r>
        <w:t xml:space="preserve"> </w:t>
      </w:r>
      <w:r>
        <w:t xml:space="preserve">amounts, location, interactions, and conformations of biomolecules</w:t>
      </w:r>
      <w:r>
        <w:t xml:space="preserve"> </w:t>
      </w:r>
      <w:r>
        <w:t xml:space="preserve">inside the cell. This knowledge can be obtained by approaches broadly</w:t>
      </w:r>
      <w:r>
        <w:t xml:space="preserve"> </w:t>
      </w:r>
      <w:r>
        <w:t xml:space="preserve">divided into label- and label-free techniques. In label-dependent</w:t>
      </w:r>
      <w:r>
        <w:t xml:space="preserve"> </w:t>
      </w:r>
      <w:r>
        <w:t xml:space="preserve">techniques a probe is physically attached to a molecule of interest that</w:t>
      </w:r>
      <w:r>
        <w:t xml:space="preserve"> </w:t>
      </w:r>
      <w:r>
        <w:t xml:space="preserve">is able to detected with a high signal-to-noise signal, such as a</w:t>
      </w:r>
      <w:r>
        <w:t xml:space="preserve"> </w:t>
      </w:r>
      <w:r>
        <w:t xml:space="preserve">fluorescent molecule. In label-free techniques the physical properties</w:t>
      </w:r>
      <w:r>
        <w:t xml:space="preserve"> </w:t>
      </w:r>
      <w:r>
        <w:t xml:space="preserve">of molecules themselves are used for detection. An example for this is</w:t>
      </w:r>
      <w:r>
        <w:t xml:space="preserve"> </w:t>
      </w:r>
      <w:r>
        <w:t xml:space="preserve">proteomics using mass-spectrometry</w:t>
      </w:r>
      <w:r>
        <w:t xml:space="preserve"> </w:t>
      </w:r>
      <w:r>
        <w:t xml:space="preserve">[</w:t>
      </w:r>
      <w:hyperlink w:anchor="ref-tSXIKPl7">
        <w:r>
          <w:rPr>
            <w:rStyle w:val="Hyperlink"/>
          </w:rPr>
          <w:t xml:space="preserve">1</w:t>
        </w:r>
      </w:hyperlink>
      <w:r>
        <w:t xml:space="preserve">]</w:t>
      </w:r>
      <w:r>
        <w:t xml:space="preserve">. The advantage</w:t>
      </w:r>
      <w:r>
        <w:t xml:space="preserve"> </w:t>
      </w:r>
      <w:r>
        <w:t xml:space="preserve">of label-free techniques is that they can provide information over</w:t>
      </w:r>
      <w:r>
        <w:t xml:space="preserve"> </w:t>
      </w:r>
      <w:r>
        <w:t xml:space="preserve">thousands of molecules, while label-techniques offer highly specific</w:t>
      </w:r>
      <w:r>
        <w:t xml:space="preserve"> </w:t>
      </w:r>
      <w:r>
        <w:t xml:space="preserve">information for a few molecules. Especially spatial information can</w:t>
      </w:r>
      <w:r>
        <w:t xml:space="preserve"> </w:t>
      </w:r>
      <w:r>
        <w:t xml:space="preserve">often only be achieved using label-dependent techniques, such as</w:t>
      </w:r>
      <w:r>
        <w:t xml:space="preserve"> </w:t>
      </w:r>
      <w:r>
        <w:t xml:space="preserve">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visualize the</w:t>
      </w:r>
      <w:r>
        <w:t xml:space="preserve"> </w:t>
      </w:r>
      <w:r>
        <w:t xml:space="preserve">arrangement of atoms that compose biomolecules inside of cells, thereby</w:t>
      </w:r>
      <w:r>
        <w:t xml:space="preserve"> </w:t>
      </w:r>
      <w:r>
        <w:t xml:space="preserve">allowing label-free detection with high spatial accuracy. This has been</w:t>
      </w:r>
      <w:r>
        <w:t xml:space="preserve"> </w:t>
      </w:r>
      <w:r>
        <w:t xml:space="preserve">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w:t>
      </w:r>
      <w:r>
        <w:t xml:space="preserve"> </w:t>
      </w:r>
      <w:r>
        <w:t xml:space="preserve">requires thin samples (&lt;500nm), imaging of biomolecules inside cells is</w:t>
      </w:r>
      <w:r>
        <w:t xml:space="preserve"> </w:t>
      </w:r>
      <w:r>
        <w:t xml:space="preserve">restricted to small organisms, thin regions of cells, or samples that</w:t>
      </w:r>
      <w:r>
        <w:t xml:space="preserve"> </w:t>
      </w:r>
      <w:r>
        <w:t xml:space="preserve">have been suitably thinned. Thinning can be achieved either by</w:t>
      </w:r>
      <w:r>
        <w:t xml:space="preserve"> </w:t>
      </w:r>
      <w:r>
        <w:t xml:space="preserve">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his complex workflow</w:t>
      </w:r>
      <w:r>
        <w:t xml:space="preserve"> </w:t>
      </w:r>
      <w:r>
        <w:t xml:space="preserve">leads to a low throughput of cryo-EM imaging of cells and is further</w:t>
      </w:r>
      <w:r>
        <w:t xml:space="preserve"> </w:t>
      </w:r>
      <w:r>
        <w:t xml:space="preserve">limited by the fact that at the required magnifications, typical fields</w:t>
      </w:r>
      <w:r>
        <w:t xml:space="preserve"> </w:t>
      </w:r>
      <w:r>
        <w:t xml:space="preserve">of view (FOV) are very small compared to mammalian cells, and the FOV</w:t>
      </w:r>
      <w:r>
        <w:t xml:space="preserve"> </w:t>
      </w:r>
      <w:r>
        <w:t xml:space="preserve">achieved by label-techniques such as fluorescence light microscopy. The</w:t>
      </w:r>
      <w:r>
        <w:t xml:space="preserve"> </w:t>
      </w:r>
      <w:r>
        <w:t xml:space="preserve">predominant cryo-EM technique for the localization of biomolecules of</w:t>
      </w:r>
      <w:r>
        <w:t xml:space="preserve"> </w:t>
      </w:r>
      <w:r>
        <w:t xml:space="preserve">defined size and shape inside cells is cryo-electron tomography</w:t>
      </w:r>
      <w:r>
        <w:t xml:space="preserve"> </w:t>
      </w:r>
      <w:r>
        <w:t xml:space="preserve">[</w:t>
      </w:r>
      <w:hyperlink w:anchor="ref-Rksh2dxu">
        <w:r>
          <w:rPr>
            <w:rStyle w:val="Hyperlink"/>
          </w:rPr>
          <w:t xml:space="preserve">6</w:t>
        </w:r>
      </w:hyperlink>
      <w:r>
        <w:t xml:space="preserve">]</w:t>
      </w:r>
      <w:r>
        <w:t xml:space="preserve">. However, the requirement of a tilt series at</w:t>
      </w:r>
      <w:r>
        <w:t xml:space="preserve"> </w:t>
      </w:r>
      <w:r>
        <w:t xml:space="preserve">every imaged location and subsequent image alignment, severely limits</w:t>
      </w:r>
      <w:r>
        <w:t xml:space="preserve"> </w:t>
      </w:r>
      <w:r>
        <w:t xml:space="preserve">the throughput for molecular localization.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(2DTM)</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w:t>
      </w:r>
      <w:r>
        <w:t xml:space="preserve"> </w:t>
      </w:r>
      <w:r>
        <w:t xml:space="preserve">method a 3D model of a biomolecule is used as a template to find 2D</w:t>
      </w:r>
      <w:r>
        <w:t xml:space="preserve"> </w:t>
      </w:r>
      <w:r>
        <w:t xml:space="preserve">projections that match the molecules visible in the electron</w:t>
      </w:r>
      <w:r>
        <w:t xml:space="preserve"> </w:t>
      </w:r>
      <w:r>
        <w:t xml:space="preserve">micrographs. This method requires a projection search on a fine angular</w:t>
      </w:r>
      <w:r>
        <w:t xml:space="preserve"> </w:t>
      </w:r>
      <w:r>
        <w:t xml:space="preserve">grid, and the projections are used to find local cross-correlation peaks</w:t>
      </w:r>
      <w:r>
        <w:t xml:space="preserve"> </w:t>
      </w:r>
      <w:r>
        <w:t xml:space="preserve">with the micrograph. Since the location of a biomolecule in the</w:t>
      </w:r>
      <w:r>
        <w:t xml:space="preserve"> </w:t>
      </w:r>
      <w:r>
        <w:t xml:space="preserve">z-direction causes predictable aberrations to the projection image, this</w:t>
      </w:r>
      <w:r>
        <w:t xml:space="preserve"> </w:t>
      </w:r>
      <w:r>
        <w:t xml:space="preserve">method can be used to calculate complete 3D coordinates and orientations</w:t>
      </w:r>
      <w:r>
        <w:t xml:space="preserve"> </w:t>
      </w:r>
      <w:r>
        <w:t xml:space="preserve">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w:t>
      </w:r>
      <w:r>
        <w:t xml:space="preserve"> </w:t>
      </w:r>
      <w:r>
        <w:t xml:space="preserve">lamella, we devised a new data-acquisition scheme, Defocus-corrected</w:t>
      </w:r>
      <w:r>
        <w:t xml:space="preserve"> </w:t>
      </w:r>
      <w:r>
        <w:t xml:space="preserve">large area cryo-electron microscopy (DeCo-LACE). We characterize</w:t>
      </w:r>
      <w:r>
        <w:t xml:space="preserve"> </w:t>
      </w:r>
      <w:r>
        <w:t xml:space="preserve">aberration cause by the used large beam-image shifts and highly focused</w:t>
      </w:r>
      <w:r>
        <w:t xml:space="preserve"> </w:t>
      </w:r>
      <w:r>
        <w:t xml:space="preserve">beams and find that they can be adequately corrected to enable ribosome</w:t>
      </w:r>
      <w:r>
        <w:t xml:space="preserve"> </w:t>
      </w:r>
      <w:r>
        <w:t xml:space="preserve">detection by 2DTM. The resulting data provide a description of ribosome</w:t>
      </w:r>
      <w:r>
        <w:t xml:space="preserve"> </w:t>
      </w:r>
      <w:r>
        <w:t xml:space="preserve">distribution in the whole lamellae, which represent roughly 2% of the</w:t>
      </w:r>
      <w:r>
        <w:t xml:space="preserve"> </w:t>
      </w:r>
      <w:r>
        <w:t xml:space="preserve">cellular volume. We find highly heterogeneous density of ribosome within</w:t>
      </w:r>
      <w:r>
        <w:t xml:space="preserve"> </w:t>
      </w:r>
      <w:r>
        <w:t xml:space="preserve">the cell and can identify discrete clusters of presumably</w:t>
      </w:r>
      <w:r>
        <w:t xml:space="preserve"> </w:t>
      </w:r>
      <w:r>
        <w:t xml:space="preserve">translationally active ribosomes, by testing for the presence of the</w:t>
      </w:r>
      <w:r>
        <w:t xml:space="preserve"> </w:t>
      </w:r>
      <w:r>
        <w:t xml:space="preserve">small ribosomal subunit. The high accuracy of location and orientation</w:t>
      </w:r>
      <w:r>
        <w:t xml:space="preserve"> </w:t>
      </w:r>
      <w:r>
        <w:t xml:space="preserve">of each detected ribosome also allows us to cluster ribosome molecules</w:t>
      </w:r>
      <w:r>
        <w:t xml:space="preserve"> </w:t>
      </w:r>
      <w:r>
        <w:t xml:space="preserve">into potential polysomes. Analysis of the throughput in this method</w:t>
      </w:r>
      <w:r>
        <w:t xml:space="preserve"> </w:t>
      </w:r>
      <w:r>
        <w:t xml:space="preserve">suggests that for the foreseeable future computation will be the</w:t>
      </w:r>
      <w:r>
        <w:t xml:space="preserve"> </w:t>
      </w:r>
      <w:r>
        <w:t xml:space="preserve">bottleneck for 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freezing cells were washed twice in PBS and</w:t>
      </w:r>
      <w:r>
        <w:t xml:space="preserve"> </w:t>
      </w:r>
      <w:r>
        <w:t xml:space="preserve">cultured in the same medium, except without estrogen. Differentiation was</w:t>
      </w:r>
      <w:r>
        <w:t xml:space="preserve"> </w:t>
      </w:r>
      <w:r>
        <w:t xml:space="preserve">verified by staining with Hoechst-dye and insepction of nuclear morphology.</w:t>
      </w:r>
      <w:r>
        <w:t xml:space="preserve"> </w:t>
      </w:r>
      <w:r>
        <w:t xml:space="preserve">Cells were then counted and diluted to 1^106 cells/ml. Grids ( either 200 mesh</w:t>
      </w:r>
      <w:r>
        <w:t xml:space="preserve"> </w:t>
      </w:r>
      <w:r>
        <w:t xml:space="preserve">copper grids, with a sillicone-oxide and 2um holes with a 2um spacing or 200</w:t>
      </w:r>
      <w:r>
        <w:t xml:space="preserve"> </w:t>
      </w:r>
      <w:r>
        <w:t xml:space="preserve">mesh gold grids with a thin gold film and 2 um holes in 2um sapcing) were</w:t>
      </w:r>
      <w:r>
        <w:t xml:space="preserve"> </w:t>
      </w:r>
      <w:r>
        <w:t xml:space="preserve">glow-discharged from both sides using a … for … . 3.5 ul of cells suspension</w:t>
      </w:r>
      <w:r>
        <w:t xml:space="preserve"> </w:t>
      </w:r>
      <w:r>
        <w:t xml:space="preserve">was added to grids on the thin-film side and grids were automatically blotted</w:t>
      </w:r>
      <w:r>
        <w:t xml:space="preserve"> </w:t>
      </w:r>
      <w:r>
        <w:t xml:space="preserve">from the back-side using a GP2 cryoplunger (Leica) for … s and rapidly plunged</w:t>
      </w:r>
      <w:r>
        <w:t xml:space="preserve"> </w:t>
      </w:r>
      <w:r>
        <w:t xml:space="preserve">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resulting in 6-8 um wide lamella with</w:t>
      </w:r>
      <w:r>
        <w:t xml:space="preserve"> </w:t>
      </w:r>
      <w:r>
        <w:t xml:space="preserve">150-200 um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Titam TEM operated at 300 keV. The microscope was</w:t>
      </w:r>
      <w:r>
        <w:t xml:space="preserve"> </w:t>
      </w:r>
      <w:r>
        <w:t xml:space="preserve">setup with a cross-grating grid on the stageby setting the beam-diameter to 900</w:t>
      </w:r>
      <w:r>
        <w:t xml:space="preserve"> </w:t>
      </w:r>
      <w:r>
        <w:t xml:space="preserve">nm, resulting in the beam being completely visible in the camera. To establish</w:t>
      </w:r>
      <w:r>
        <w:t xml:space="preserve"> </w:t>
      </w:r>
      <w:r>
        <w:t xml:space="preserve">fringe-free conditions, the</w:t>
      </w:r>
      <w:r>
        <w:t xml:space="preserve"> </w:t>
      </w:r>
      <w:r>
        <w:t xml:space="preserve">“</w:t>
      </w:r>
      <w:r>
        <w:t xml:space="preserve">Fine eucentric</w:t>
      </w:r>
      <w:r>
        <w:t xml:space="preserve">”</w:t>
      </w:r>
      <w:r>
        <w:t xml:space="preserve"> </w:t>
      </w:r>
      <w:r>
        <w:t xml:space="preserve">procedure of serialEM was used to</w:t>
      </w:r>
      <w:r>
        <w:t xml:space="preserve"> </w:t>
      </w:r>
      <w:r>
        <w:t xml:space="preserve">move a square of the cross-grating grid to the eucentric position of the</w:t>
      </w:r>
      <w:r>
        <w:t xml:space="preserve"> </w:t>
      </w:r>
      <w:r>
        <w:t xml:space="preserve">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 apparent</w:t>
      </w:r>
      <w:r>
        <w:t xml:space="preserve"> </w:t>
      </w:r>
      <w:r>
        <w:t xml:space="preserve">defocus of 2 um. The differnce in stage Z-position between the eucentric and</w:t>
      </w:r>
      <w:r>
        <w:t xml:space="preserve"> </w:t>
      </w:r>
      <w:r>
        <w:t xml:space="preserve">fringe-free conditions was calculate d and noted to move other areas into</w:t>
      </w:r>
      <w:r>
        <w:t xml:space="preserve"> </w:t>
      </w:r>
      <w:r>
        <w:t xml:space="preserve">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The corners of the lamella were manually annotated in SerialEM and</w:t>
      </w:r>
      <w:r>
        <w:t xml:space="preserve"> </w:t>
      </w:r>
      <w:r>
        <w:t xml:space="preserve">translated into Beam-Imageshift values using SerialEm calibration. A hexagonal</w:t>
      </w:r>
      <w:r>
        <w:t xml:space="preserve"> </w:t>
      </w:r>
      <w:r>
        <w:t xml:space="preserve">patter of beam-imageshift positions was calculated that covered the area between</w:t>
      </w:r>
      <w:r>
        <w:t xml:space="preserve"> </w:t>
      </w:r>
      <w:r>
        <w:t xml:space="preserve">he four corners in a serpentine way, with a sqrt(3) * 400 nm horizontal spacing</w:t>
      </w:r>
      <w:r>
        <w:t xml:space="preserve"> </w:t>
      </w:r>
      <w:r>
        <w:t xml:space="preserve">and 800 nm vertical spacing. Exposures were then taking at each position with a</w:t>
      </w:r>
      <w:r>
        <w:t xml:space="preserve"> </w:t>
      </w:r>
      <w:r>
        <w:t xml:space="preserve">30 e/A total dose. After each exposure that defocus was estimated using the</w:t>
      </w:r>
      <w:r>
        <w:t xml:space="preserve"> </w:t>
      </w:r>
      <w:r>
        <w:t xml:space="preserve">ctffind function of SerialEM and the focus for th next exposure was corrected by</w:t>
      </w:r>
      <w:r>
        <w:t xml:space="preserve"> </w:t>
      </w:r>
      <w:r>
        <w:t xml:space="preserve">the difference between the estimated focus and the desired defocus of 800 um.</w:t>
      </w:r>
      <w:r>
        <w:t xml:space="preserve"> </w:t>
      </w:r>
      <w:r>
        <w:t xml:space="preserve">Also after each exposure the deviation of the beam from the center of the camera</w:t>
      </w:r>
      <w:r>
        <w:t xml:space="preserve"> </w:t>
      </w:r>
      <w:r>
        <w:t xml:space="preserve">was measured and corrected using the</w:t>
      </w:r>
      <w:r>
        <w:t xml:space="preserve"> </w:t>
      </w:r>
      <w:r>
        <w:t xml:space="preserve">“</w:t>
      </w:r>
      <w:r>
        <w:t xml:space="preserve">CenterBeamFrom 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w:t>
      </w:r>
    </w:p>
    <w:bookmarkEnd w:id="45"/>
    <w:bookmarkStart w:id="46" w:name="data-pre-processing"/>
    <w:p>
      <w:pPr>
        <w:pStyle w:val="Heading3"/>
      </w:pPr>
      <w:r>
        <w:t xml:space="preserve">Data pre-processing</w:t>
      </w:r>
    </w:p>
    <w:p>
      <w:pPr>
        <w:pStyle w:val="FirstParagraph"/>
      </w:pPr>
      <w:r>
        <w:t xml:space="preserve">Movies were gain-corrected and motion-corrected using a custom version of</w:t>
      </w:r>
      <w:r>
        <w:t xml:space="preserve"> </w:t>
      </w:r>
      <w:r>
        <w:t xml:space="preserve">unblur. 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 A,</w:t>
      </w:r>
      <w:r>
        <w:t xml:space="preserve"> </w:t>
      </w:r>
      <w:r>
        <w:t xml:space="preserve">thresholding the image at 10% of the maximal value and then lowpass filtering</w:t>
      </w:r>
      <w:r>
        <w:t xml:space="preserve"> </w:t>
      </w:r>
      <w:r>
        <w:t xml:space="preserve">the mask at … A. This mask was then used to replace un-illuminated area with</w:t>
      </w:r>
      <w:r>
        <w:t xml:space="preserve"> </w:t>
      </w:r>
      <w:r>
        <w:t xml:space="preserve">gaussian noise, with the same mean and standard deviation as the illuminated</w:t>
      </w:r>
      <w:r>
        <w:t xml:space="preserve"> </w:t>
      </w:r>
      <w:r>
        <w:t xml:space="preserve">area. The contrast-transfer function (CTF) was estimated using ctffind, searching</w:t>
      </w:r>
      <w:r>
        <w:t xml:space="preserve"> </w:t>
      </w:r>
      <w:r>
        <w:t xml:space="preserve">between 0.02 and 2 um defocus.</w:t>
      </w:r>
    </w:p>
    <w:bookmarkEnd w:id="46"/>
    <w:bookmarkStart w:id="47" w:name="template-matching"/>
    <w:p>
      <w:pPr>
        <w:pStyle w:val="Heading3"/>
      </w:pPr>
      <w:r>
        <w:t xml:space="preserve">Template matching</w:t>
      </w:r>
    </w:p>
    <w:p>
      <w:pPr>
        <w:pStyle w:val="FirstParagraph"/>
      </w:pPr>
      <w:r>
        <w:t xml:space="preserve">The search template was generated from the cryo-EM structure of the mouse large</w:t>
      </w:r>
      <w:r>
        <w:t xml:space="preserve"> </w:t>
      </w:r>
      <w:r>
        <w:t xml:space="preserve">ribosomal subunit (PDB 6SWA). The … subunit was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deg angular step in out-of-plane</w:t>
      </w:r>
      <w:r>
        <w:t xml:space="preserve"> </w:t>
      </w:r>
      <w:r>
        <w:t xml:space="preserve">angles and 1.0 deg in-plane. 21 defocus planes in 200nm steps centered around</w:t>
      </w:r>
      <w:r>
        <w:t xml:space="preserve"> </w:t>
      </w:r>
      <w:r>
        <w:t xml:space="preserve">the defocus estimates by ctffind were searches. Matches were defined as peaks</w:t>
      </w:r>
      <w:r>
        <w:t xml:space="preserve"> </w:t>
      </w:r>
      <w:r>
        <w:t xml:space="preserve">above a threshold calulated according to .. .(7.75 for most images).</w:t>
      </w:r>
    </w:p>
    <w:bookmarkEnd w:id="47"/>
    <w:bookmarkStart w:id="48" w:name="data-analysis"/>
    <w:p>
      <w:pPr>
        <w:pStyle w:val="Heading3"/>
      </w:pPr>
      <w:r>
        <w:t xml:space="preserve">Data analysis</w:t>
      </w:r>
    </w:p>
    <w:bookmarkEnd w:id="48"/>
    <w:bookmarkEnd w:id="49"/>
    <w:bookmarkStart w:id="54" w:name="results"/>
    <w:p>
      <w:pPr>
        <w:pStyle w:val="Heading2"/>
      </w:pPr>
      <w:r>
        <w:t xml:space="preserve">Results</w:t>
      </w:r>
    </w:p>
    <w:bookmarkStart w:id="50" w:name="X942927c890abaa150be4b44d9256282e5001be4"/>
    <w:p>
      <w:pPr>
        <w:pStyle w:val="Heading3"/>
      </w:pPr>
      <w:r>
        <w:t xml:space="preserve">2D-Template matching can be used to find ribosomal subunits in cryo-FIB thinned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We then proceeded to acquire micrographs on this lamella with a</w:t>
      </w:r>
      <w:r>
        <w:t xml:space="preserve"> </w:t>
      </w:r>
      <w:r>
        <w:t xml:space="preserve">defocus of 0.5-1.0 um, 30 e/A2/s exposure and 1.5 A pixelsize. We manually</w:t>
      </w:r>
      <w:r>
        <w:t xml:space="preserve"> </w:t>
      </w:r>
      <w:r>
        <w:t xml:space="preserve">selected multiple locations in the lamella and focused using standard low-dose</w:t>
      </w:r>
      <w:r>
        <w:t xml:space="preserve"> </w:t>
      </w:r>
      <w:r>
        <w:t xml:space="preserve">techniques, i.e. by first ensuring correct focus by imaging a sacrifical area.</w:t>
      </w:r>
      <w:r>
        <w:t xml:space="preserve"> </w:t>
      </w:r>
      <w:r>
        <w:t xml:space="preserve">The resoluting micrographs showed no signs of crystalline ice and had thon-rings</w:t>
      </w:r>
      <w:r>
        <w:t xml:space="preserve"> </w:t>
      </w:r>
      <w:r>
        <w:t xml:space="preserve">to resolution, indicating successfull vitrification.</w:t>
      </w:r>
    </w:p>
    <w:p>
      <w:pPr>
        <w:pStyle w:val="BodyText"/>
      </w:pPr>
      <w:r>
        <w:t xml:space="preserve">We used an atomic model of the 60S mouse ribosomal subunit (6SWA) for 2D</w:t>
      </w:r>
      <w:r>
        <w:t xml:space="preserve"> </w:t>
      </w:r>
      <w:r>
        <w:t xml:space="preserve">template matching. In a subset of images the distribution of cross-correlation</w:t>
      </w:r>
      <w:r>
        <w:t xml:space="preserve"> </w:t>
      </w:r>
      <w:r>
        <w:t xml:space="preserve">scores significantly exceeded the distribution expected from non-signifcant</w:t>
      </w:r>
      <w:r>
        <w:t xml:space="preserve"> </w:t>
      </w:r>
      <w:r>
        <w:t xml:space="preserve">matching(Figure 1B). In the resulting scaled maximum-intensity maps, clear peaks</w:t>
      </w:r>
      <w:r>
        <w:t xml:space="preserve"> </w:t>
      </w:r>
      <w:r>
        <w:t xml:space="preserve">with SNR thresholds up to 10 were apparent (Figure 1C). By using the criterion</w:t>
      </w:r>
      <w:r>
        <w:t xml:space="preserve"> </w:t>
      </w:r>
      <w:r>
        <w:t xml:space="preserve">described by for thresholding potential matches we found that in images of</w:t>
      </w:r>
      <w:r>
        <w:t xml:space="preserve"> </w:t>
      </w:r>
      <w:r>
        <w:t xml:space="preserve">cytosolic ompartments we found evidence of 10-500 ribosomes in the imaged areas.</w:t>
      </w:r>
      <w:r>
        <w:t xml:space="preserve"> </w:t>
      </w:r>
      <w:r>
        <w:t xml:space="preserve">Notably we found no matches in images that were taken in the nuclear</w:t>
      </w:r>
      <w:r>
        <w:t xml:space="preserve"> </w:t>
      </w:r>
      <w:r>
        <w:t xml:space="preserve">compartment. In the cytosolic areas we found a drastically different number of</w:t>
      </w:r>
      <w:r>
        <w:t xml:space="preserve"> </w:t>
      </w:r>
      <w:r>
        <w:t xml:space="preserve">matches, In somer areas we found only ~ 50 matches er image area, corresponding</w:t>
      </w:r>
      <w:r>
        <w:t xml:space="preserve"> </w:t>
      </w:r>
      <w:r>
        <w:t xml:space="preserve">to a concentration of…, while in another area we found more than 500 matches,</w:t>
      </w:r>
      <w:r>
        <w:t xml:space="preserve"> </w:t>
      </w:r>
      <w:r>
        <w:t xml:space="preserve">corresponding to a concentration of … .</w:t>
      </w:r>
    </w:p>
    <w:bookmarkEnd w:id="50"/>
    <w:bookmarkStart w:id="51" w:name="X2199b1b9b258d8ee7898d9ff5856508695a84aa"/>
    <w:p>
      <w:pPr>
        <w:pStyle w:val="Heading3"/>
      </w:pPr>
      <w:r>
        <w:t xml:space="preserve">cryo-EMILIA for 2D imaging of whole lamella</w:t>
      </w:r>
    </w:p>
    <w:p>
      <w:pPr>
        <w:pStyle w:val="FirstParagraph"/>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(Figure</w:t>
      </w:r>
      <w:r>
        <w:t xml:space="preserve"> </w:t>
      </w:r>
      <w:r>
        <w:t xml:space="preserve">2B).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(Figure 2C).</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 Instead of focusing in a sacrificial area, we determined the</w:t>
      </w:r>
      <w:r>
        <w:t xml:space="preserve"> </w:t>
      </w:r>
      <w:r>
        <w:t xml:space="preserve">defocus after every exposure using a routine implemented in SerialEM modeled</w:t>
      </w:r>
      <w:r>
        <w:t xml:space="preserve"> </w:t>
      </w:r>
      <w:r>
        <w:t xml:space="preserve">after CTFFind. The focus was then adjusted based on the difference between</w:t>
      </w:r>
      <w:r>
        <w:t xml:space="preserve"> </w:t>
      </w:r>
      <w:r>
        <w:t xml:space="preserve">desired and measured defocus.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and 4 using the fringe-free condition. We were able to highly</w:t>
      </w:r>
      <w:r>
        <w:t xml:space="preserve"> </w:t>
      </w:r>
      <w:r>
        <w:t xml:space="preserve">consistently collect data with a defocus of 8 um (Figure 2D), both in the</w:t>
      </w:r>
      <w:r>
        <w:t xml:space="preserve"> </w:t>
      </w:r>
      <w:r>
        <w:t xml:space="preserve">eucentric focus and fringe-free focus condition. Together with the nominal</w:t>
      </w:r>
      <w:r>
        <w:t xml:space="preserve"> </w:t>
      </w:r>
      <w:r>
        <w:t xml:space="preserve">defocus of the microscope this data results in a topological map of the lamella.</w:t>
      </w:r>
      <w:r>
        <w:t xml:space="preserve"> </w:t>
      </w:r>
      <w:r>
        <w:t xml:space="preserve">To ensure that data was collected consistently, we mapped defocus values as a</w:t>
      </w:r>
      <w:r>
        <w:t xml:space="preserve"> </w:t>
      </w:r>
      <w:r>
        <w:t xml:space="preserve">function of the applied Beam-image shift (Figure 2E). This demonstrated that the</w:t>
      </w:r>
      <w:r>
        <w:t xml:space="preserve"> </w:t>
      </w:r>
      <w:r>
        <w:t xml:space="preserve">defocus was consistent over the lamella, with outliers only at isolated images</w:t>
      </w:r>
      <w:r>
        <w:t xml:space="preserve"> </w:t>
      </w:r>
      <w:r>
        <w:t xml:space="preserve">and in images containing contamination. We also plotted the measure objective</w:t>
      </w:r>
      <w:r>
        <w:t xml:space="preserve"> </w:t>
      </w:r>
      <w:r>
        <w:t xml:space="preserve">astigmatism of the lamella and found that it varies with the applied Beam-image</w:t>
      </w:r>
      <w:r>
        <w:t xml:space="preserve"> </w:t>
      </w:r>
      <w:r>
        <w:t xml:space="preserve">shift, become more astigmatic mostly due to beam-image shift in the X</w:t>
      </w:r>
      <w:r>
        <w:t xml:space="preserve"> </w:t>
      </w:r>
      <w:r>
        <w:t xml:space="preserve">direction. While approaches exist to correct this during the data-collection, we</w:t>
      </w:r>
      <w:r>
        <w:t xml:space="preserve"> </w:t>
      </w:r>
      <w:r>
        <w:t xml:space="preserve">opted to not use these mechanism for these early experiments and instead rely on</w:t>
      </w:r>
      <w:r>
        <w:t xml:space="preserve"> </w:t>
      </w:r>
      <w:r>
        <w:t xml:space="preserve">computational correction of these aberrations in order to characterize them.</w:t>
      </w:r>
    </w:p>
    <w:bookmarkEnd w:id="51"/>
    <w:bookmarkStart w:id="52" w:name="X5a7ba8c9ac6d404bf30ea349447bf13880454d1"/>
    <w:p>
      <w:pPr>
        <w:pStyle w:val="Heading3"/>
      </w:pPr>
      <w:r>
        <w:t xml:space="preserve">2D-Template matching of cryo-EMILIA data reveals ribosome distribution</w:t>
      </w:r>
    </w:p>
    <w:p>
      <w:pPr>
        <w:pStyle w:val="FirstParagraph"/>
      </w:pPr>
      <w:r>
        <w:t xml:space="preserve">We developed customized preprocessing protocol to images obtained by cryo-EMILIA</w:t>
      </w:r>
      <w:r>
        <w:t xml:space="preserve"> </w:t>
      </w:r>
      <w:r>
        <w:t xml:space="preserve">to enable their use for 2D-template matching. First we restricted calculation of</w:t>
      </w:r>
      <w:r>
        <w:t xml:space="preserve"> </w:t>
      </w:r>
      <w:r>
        <w:t xml:space="preserve">cross-correlation coefficients between individual movie frames to the central</w:t>
      </w:r>
      <w:r>
        <w:t xml:space="preserve"> </w:t>
      </w:r>
      <w:r>
        <w:t xml:space="preserve">portion of the image to prevent artifacts from the beam edges on estimation of</w:t>
      </w:r>
      <w:r>
        <w:t xml:space="preserve"> </w:t>
      </w:r>
      <w:r>
        <w:t xml:space="preserve">motion. Then we calculated a mask that defined the illuminated area of the</w:t>
      </w:r>
      <w:r>
        <w:t xml:space="preserve"> </w:t>
      </w:r>
      <w:r>
        <w:t xml:space="preserve">micrographs and used it to fill non-illumated areas with gaussian noise,</w:t>
      </w:r>
      <w:r>
        <w:t xml:space="preserve"> </w:t>
      </w:r>
      <w:r>
        <w:t xml:space="preserve">matching mean and standard deviation to the illuminated signal (Figure 3A). The</w:t>
      </w:r>
      <w:r>
        <w:t xml:space="preserve"> </w:t>
      </w:r>
      <w:r>
        <w:t xml:space="preserve">so processed images were suitable for 2D-template matching and we were able to</w:t>
      </w:r>
      <w:r>
        <w:t xml:space="preserve"> </w:t>
      </w:r>
      <w:r>
        <w:t xml:space="preserve">obtained matches with the same model used for the data in Figure 1.</w:t>
      </w:r>
    </w:p>
    <w:bookmarkEnd w:id="52"/>
    <w:bookmarkStart w:id="53" w:name="X88c586ca787ef37bdb0a305e275297e53b044c0"/>
    <w:p>
      <w:pPr>
        <w:pStyle w:val="Heading3"/>
      </w:pPr>
      <w:r>
        <w:t xml:space="preserve">Quantitative analysis of translation activity</w:t>
      </w:r>
    </w:p>
    <w:bookmarkEnd w:id="53"/>
    <w:bookmarkEnd w:id="54"/>
    <w:bookmarkStart w:id="55" w:name="discussion"/>
    <w:p>
      <w:pPr>
        <w:pStyle w:val="Heading2"/>
      </w:pPr>
      <w:r>
        <w:t xml:space="preserve">Discussion</w:t>
      </w:r>
    </w:p>
    <w:p>
      <w:pPr>
        <w:numPr>
          <w:ilvl w:val="0"/>
          <w:numId w:val="1002"/>
        </w:numPr>
      </w:pPr>
      <w:r>
        <w:t xml:space="preserve">Elizabeth Wright and Grant Jensen Montage tomography papers</w:t>
      </w:r>
    </w:p>
    <w:p>
      <w:pPr>
        <w:numPr>
          <w:ilvl w:val="0"/>
          <w:numId w:val="1002"/>
        </w:numPr>
      </w:pPr>
      <w:r>
        <w:t xml:space="preserve">Waffle method for higher throughput, automation of fib-milling</w:t>
      </w:r>
    </w:p>
    <w:p>
      <w:pPr>
        <w:numPr>
          <w:ilvl w:val="0"/>
          <w:numId w:val="1002"/>
        </w:numPr>
      </w:pPr>
      <w:r>
        <w:t xml:space="preserve">Throughput and bottlenecks</w:t>
      </w:r>
    </w:p>
    <w:p>
      <w:pPr>
        <w:numPr>
          <w:ilvl w:val="0"/>
          <w:numId w:val="1002"/>
        </w:numPr>
      </w:pPr>
      <w:r>
        <w:t xml:space="preserve">Visual proteomics</w:t>
      </w:r>
    </w:p>
    <w:p>
      <w:pPr>
        <w:numPr>
          <w:ilvl w:val="0"/>
          <w:numId w:val="1002"/>
        </w:numPr>
      </w:pPr>
      <w:r>
        <w:t xml:space="preserve">Granules containing ribosomes?</w:t>
      </w:r>
    </w:p>
    <w:p>
      <w:pPr>
        <w:numPr>
          <w:ilvl w:val="0"/>
          <w:numId w:val="1002"/>
        </w:numPr>
      </w:pPr>
      <w:r>
        <w:t xml:space="preserve">Threshold implications (no matches on most images)</w:t>
      </w:r>
    </w:p>
    <w:bookmarkEnd w:id="55"/>
    <w:bookmarkStart w:id="96" w:name="figures"/>
    <w:p>
      <w:pPr>
        <w:pStyle w:val="Heading2"/>
      </w:pPr>
      <w:r>
        <w:t xml:space="preserve">Figures</w:t>
      </w:r>
    </w:p>
    <w:bookmarkStart w:id="0" w:name="fig:initmatching"/>
    <w:p>
      <w:pPr>
        <w:pStyle w:val="CaptionedFigure"/>
      </w:pPr>
      <w:bookmarkStart w:id="60" w:name="fig:initmatching"/>
      <w:r>
        <w:drawing>
          <wp:inline>
            <wp:extent cx="5943600" cy="3120803"/>
            <wp:effectExtent b="0" l="0" r="0" t="0"/>
            <wp:docPr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 (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 title="" id="57" name="Picture"/>
            <a:graphic>
              <a:graphicData uri="http://schemas.openxmlformats.org/drawingml/2006/picture">
                <pic:pic>
                  <pic:nvPicPr>
                    <pic:cNvPr descr="figures/initmatching.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3120803"/>
                    </a:xfrm>
                    <a:prstGeom prst="rect">
                      <a:avLst/>
                    </a:prstGeom>
                    <a:noFill/>
                    <a:ln w="9525">
                      <a:noFill/>
                      <a:headEnd/>
                      <a:tailEnd/>
                    </a:ln>
                  </pic:spPr>
                </pic:pic>
              </a:graphicData>
            </a:graphic>
          </wp:inline>
        </w:drawing>
      </w:r>
      <w:bookmarkEnd w:id="60"/>
    </w:p>
    <w:p>
      <w:pPr>
        <w:pStyle w:val="ImageCaption"/>
      </w:pPr>
      <w:r>
        <w:t xml:space="preserve">Figure 1: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w:t>
      </w:r>
      <w:r>
        <w:t xml:space="preserve"> </w:t>
      </w:r>
      <w:r>
        <w:t xml:space="preserve">(B-E)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w:t>
      </w:r>
    </w:p>
    <w:bookmarkEnd w:id="0"/>
    <w:bookmarkStart w:id="0" w:name="fig:initmatching2"/>
    <w:p>
      <w:pPr>
        <w:pStyle w:val="CaptionedFigure"/>
      </w:pPr>
      <w:bookmarkStart w:id="65" w:name="fig:initmatching2"/>
      <w:r>
        <w:drawing>
          <wp:inline>
            <wp:extent cx="4676775" cy="3238500"/>
            <wp:effectExtent b="0" l="0" r="0" t="0"/>
            <wp:docPr descr="Figure S1: Maximum intensity projection cross-correlation map of micrograph shown in Figure 1" title="" id="62" name="Picture"/>
            <a:graphic>
              <a:graphicData uri="http://schemas.openxmlformats.org/drawingml/2006/picture">
                <pic:pic>
                  <pic:nvPicPr>
                    <pic:cNvPr descr="figures/initmatching2.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4676775" cy="3238500"/>
                    </a:xfrm>
                    <a:prstGeom prst="rect">
                      <a:avLst/>
                    </a:prstGeom>
                    <a:noFill/>
                    <a:ln w="9525">
                      <a:noFill/>
                      <a:headEnd/>
                      <a:tailEnd/>
                    </a:ln>
                  </pic:spPr>
                </pic:pic>
              </a:graphicData>
            </a:graphic>
          </wp:inline>
        </w:drawing>
      </w:r>
      <w:bookmarkEnd w:id="65"/>
    </w:p>
    <w:p>
      <w:pPr>
        <w:pStyle w:val="ImageCaption"/>
      </w:pPr>
      <w:r>
        <w:t xml:space="preserve">Figure S1: Maximum intensity projection cross-correlation map of micrograph shown in Figure</w:t>
      </w:r>
      <w:r>
        <w:t xml:space="preserve"> </w:t>
      </w:r>
      <w:hyperlink w:anchor="fig:initmatching">
        <w:r>
          <w:rPr>
            <w:rStyle w:val="Hyperlink"/>
          </w:rPr>
          <w:t xml:space="preserve">1</w:t>
        </w:r>
      </w:hyperlink>
    </w:p>
    <w:bookmarkEnd w:id="0"/>
    <w:bookmarkStart w:id="0" w:name="fig:approach"/>
    <w:p>
      <w:pPr>
        <w:pStyle w:val="CaptionedFigure"/>
      </w:pPr>
      <w:bookmarkStart w:id="70" w:name="fig:approach"/>
      <w:r>
        <w:drawing>
          <wp:inline>
            <wp:extent cx="5943600" cy="2373662"/>
            <wp:effectExtent b="0" l="0" r="0" t="0"/>
            <wp:docPr descr="Figure 2: DeCo-LACE approach (A) Graphic demonstrating the data-collection strategy for DeCo-LACE" title="" id="67" name="Picture"/>
            <a:graphic>
              <a:graphicData uri="http://schemas.openxmlformats.org/drawingml/2006/picture">
                <pic:pic>
                  <pic:nvPicPr>
                    <pic:cNvPr descr="figures/approach.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2373662"/>
                    </a:xfrm>
                    <a:prstGeom prst="rect">
                      <a:avLst/>
                    </a:prstGeom>
                    <a:noFill/>
                    <a:ln w="9525">
                      <a:noFill/>
                      <a:headEnd/>
                      <a:tailEnd/>
                    </a:ln>
                  </pic:spPr>
                </pic:pic>
              </a:graphicData>
            </a:graphic>
          </wp:inline>
        </w:drawing>
      </w:r>
      <w:bookmarkEnd w:id="70"/>
    </w:p>
    <w:p>
      <w:pPr>
        <w:pStyle w:val="ImageCaption"/>
      </w:pPr>
      <w:r>
        <w:t xml:space="preserve">Figure 2: DeCo-LACE approach (A) Graphic demonstrating the data-collection strategy for DeCo-LACE</w:t>
      </w:r>
    </w:p>
    <w:bookmarkEnd w:id="0"/>
    <w:bookmarkStart w:id="0" w:name="fig:lamella_spatial_info"/>
    <w:p>
      <w:pPr>
        <w:pStyle w:val="CaptionedFigure"/>
      </w:pPr>
      <w:bookmarkStart w:id="75" w:name="fig:lamella_spatial_info"/>
      <w:r>
        <w:drawing>
          <wp:inline>
            <wp:extent cx="5934075" cy="3238500"/>
            <wp:effectExtent b="0" l="0" r="0" t="0"/>
            <wp:docPr descr="Figure 3: This is an example-figurern" title="" id="72" name="Picture"/>
            <a:graphic>
              <a:graphicData uri="http://schemas.openxmlformats.org/drawingml/2006/picture">
                <pic:pic>
                  <pic:nvPicPr>
                    <pic:cNvPr descr="figures/lamella_spatial_info.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75"/>
    </w:p>
    <w:p>
      <w:pPr>
        <w:pStyle w:val="ImageCaption"/>
      </w:pPr>
      <w:r>
        <w:t xml:space="preserve">Figure 3: This is an example-figurern</w:t>
      </w:r>
    </w:p>
    <w:bookmarkEnd w:id="0"/>
    <w:bookmarkStart w:id="0" w:name="fig:approach3"/>
    <w:p>
      <w:pPr>
        <w:pStyle w:val="CaptionedFigure"/>
      </w:pPr>
      <w:bookmarkStart w:id="80" w:name="fig:approach3"/>
      <w:r>
        <w:drawing>
          <wp:inline>
            <wp:extent cx="5934075" cy="3238500"/>
            <wp:effectExtent b="0" l="0" r="0" t="0"/>
            <wp:docPr descr="Figure 4: This is an example-figurern" title="" id="77" name="Picture"/>
            <a:graphic>
              <a:graphicData uri="http://schemas.openxmlformats.org/drawingml/2006/picture">
                <pic:pic>
                  <pic:nvPicPr>
                    <pic:cNvPr descr="figures/example-figure3.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80"/>
    </w:p>
    <w:p>
      <w:pPr>
        <w:pStyle w:val="ImageCaption"/>
      </w:pPr>
      <w:r>
        <w:t xml:space="preserve">Figure 4: This is an example-figurern</w:t>
      </w:r>
    </w:p>
    <w:bookmarkEnd w:id="0"/>
    <w:bookmarkStart w:id="0" w:name="fig:approach4"/>
    <w:p>
      <w:pPr>
        <w:pStyle w:val="CaptionedFigure"/>
      </w:pPr>
      <w:bookmarkStart w:id="85" w:name="fig:approach4"/>
      <w:r>
        <w:drawing>
          <wp:inline>
            <wp:extent cx="5943600" cy="3865308"/>
            <wp:effectExtent b="0" l="0" r="0" t="0"/>
            <wp:docPr descr="Figure 5: This is an example-figurern" title="" id="82" name="Picture"/>
            <a:graphic>
              <a:graphicData uri="http://schemas.openxmlformats.org/drawingml/2006/picture">
                <pic:pic>
                  <pic:nvPicPr>
                    <pic:cNvPr descr="figures/example-figure4.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5943600" cy="3865308"/>
                    </a:xfrm>
                    <a:prstGeom prst="rect">
                      <a:avLst/>
                    </a:prstGeom>
                    <a:noFill/>
                    <a:ln w="9525">
                      <a:noFill/>
                      <a:headEnd/>
                      <a:tailEnd/>
                    </a:ln>
                  </pic:spPr>
                </pic:pic>
              </a:graphicData>
            </a:graphic>
          </wp:inline>
        </w:drawing>
      </w:r>
      <w:bookmarkEnd w:id="85"/>
    </w:p>
    <w:p>
      <w:pPr>
        <w:pStyle w:val="ImageCaption"/>
      </w:pPr>
      <w:r>
        <w:t xml:space="preserve">Figure 5: This is an example-figurern</w:t>
      </w:r>
    </w:p>
    <w:bookmarkEnd w:id="0"/>
    <w:bookmarkStart w:id="0" w:name="fig:matching"/>
    <w:p>
      <w:pPr>
        <w:pStyle w:val="CaptionedFigure"/>
      </w:pPr>
      <w:bookmarkStart w:id="90" w:name="fig:matching"/>
      <w:r>
        <w:drawing>
          <wp:inline>
            <wp:extent cx="5753100" cy="4676775"/>
            <wp:effectExtent b="0" l="0" r="0" t="0"/>
            <wp:docPr descr="Figure 6: This is an example-figurern" title="" id="87" name="Picture"/>
            <a:graphic>
              <a:graphicData uri="http://schemas.openxmlformats.org/drawingml/2006/picture">
                <pic:pic>
                  <pic:nvPicPr>
                    <pic:cNvPr descr="figures/matching.svg" id="88" name="Picture"/>
                    <pic:cNvPicPr>
                      <a:picLocks noChangeArrowheads="1" noChangeAspect="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bwMode="auto">
                    <a:xfrm>
                      <a:off x="0" y="0"/>
                      <a:ext cx="5753100" cy="4676775"/>
                    </a:xfrm>
                    <a:prstGeom prst="rect">
                      <a:avLst/>
                    </a:prstGeom>
                    <a:noFill/>
                    <a:ln w="9525">
                      <a:noFill/>
                      <a:headEnd/>
                      <a:tailEnd/>
                    </a:ln>
                  </pic:spPr>
                </pic:pic>
              </a:graphicData>
            </a:graphic>
          </wp:inline>
        </w:drawing>
      </w:r>
      <w:bookmarkEnd w:id="90"/>
    </w:p>
    <w:p>
      <w:pPr>
        <w:pStyle w:val="ImageCaption"/>
      </w:pPr>
      <w:r>
        <w:t xml:space="preserve">Figure 6: This is an example-figurern</w:t>
      </w:r>
    </w:p>
    <w:bookmarkEnd w:id="0"/>
    <w:bookmarkStart w:id="0" w:name="fig:deco_lace_workflow"/>
    <w:p>
      <w:pPr>
        <w:pStyle w:val="CaptionedFigure"/>
      </w:pPr>
      <w:bookmarkStart w:id="95" w:name="fig:deco_lace_workflow"/>
      <w:r>
        <w:drawing>
          <wp:inline>
            <wp:extent cx="5943600" cy="5943600"/>
            <wp:effectExtent b="0" l="0" r="0" t="0"/>
            <wp:docPr descr="Figure 7: Workflow of DeCo-Lace processing" title="" id="92" name="Picture"/>
            <a:graphic>
              <a:graphicData uri="http://schemas.openxmlformats.org/drawingml/2006/picture">
                <pic:pic>
                  <pic:nvPicPr>
                    <pic:cNvPr descr="figures/deco_lace_workflow.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bwMode="auto">
                    <a:xfrm>
                      <a:off x="0" y="0"/>
                      <a:ext cx="5943600" cy="5943600"/>
                    </a:xfrm>
                    <a:prstGeom prst="rect">
                      <a:avLst/>
                    </a:prstGeom>
                    <a:noFill/>
                    <a:ln w="9525">
                      <a:noFill/>
                      <a:headEnd/>
                      <a:tailEnd/>
                    </a:ln>
                  </pic:spPr>
                </pic:pic>
              </a:graphicData>
            </a:graphic>
          </wp:inline>
        </w:drawing>
      </w:r>
      <w:bookmarkEnd w:id="95"/>
    </w:p>
    <w:p>
      <w:pPr>
        <w:pStyle w:val="ImageCaption"/>
      </w:pPr>
      <w:r>
        <w:t xml:space="preserve">Figure 7: Workflow of DeCo-Lace processing</w:t>
      </w:r>
    </w:p>
    <w:bookmarkEnd w:id="0"/>
    <w:bookmarkEnd w:id="96"/>
    <w:bookmarkStart w:id="151" w:name="references"/>
    <w:p>
      <w:pPr>
        <w:pStyle w:val="Heading2"/>
      </w:pPr>
      <w:r>
        <w:t xml:space="preserve">References</w:t>
      </w:r>
    </w:p>
    <w:bookmarkStart w:id="150" w:name="refs"/>
    <w:bookmarkStart w:id="101"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97">
        <w:r>
          <w:rPr>
            <w:rStyle w:val="Hyperlink"/>
          </w:rPr>
          <w:t xml:space="preserve">https://doi.org/fshgnc</w:t>
        </w:r>
      </w:hyperlink>
      <w:r>
        <w:t xml:space="preserve"> </w:t>
      </w:r>
      <w:r>
        <w:t xml:space="preserve">DOI:</w:t>
      </w:r>
      <w:r>
        <w:t xml:space="preserve"> </w:t>
      </w:r>
      <w:hyperlink r:id="rId98">
        <w:r>
          <w:rPr>
            <w:rStyle w:val="Hyperlink"/>
          </w:rPr>
          <w:t xml:space="preserve">10.1038/nbt.1592</w:t>
        </w:r>
      </w:hyperlink>
      <w:r>
        <w:t xml:space="preserve"> </w:t>
      </w:r>
      <w:r>
        <w:t xml:space="preserve">· PMID:</w:t>
      </w:r>
      <w:r>
        <w:t xml:space="preserve"> </w:t>
      </w:r>
      <w:hyperlink r:id="rId99">
        <w:r>
          <w:rPr>
            <w:rStyle w:val="Hyperlink"/>
          </w:rPr>
          <w:t xml:space="preserve">20010810</w:t>
        </w:r>
      </w:hyperlink>
      <w:r>
        <w:t xml:space="preserve"> </w:t>
      </w:r>
      <w:r>
        <w:t xml:space="preserve">· PMCID:</w:t>
      </w:r>
      <w:r>
        <w:t xml:space="preserve"> </w:t>
      </w:r>
      <w:hyperlink r:id="rId100">
        <w:r>
          <w:rPr>
            <w:rStyle w:val="Hyperlink"/>
          </w:rPr>
          <w:t xml:space="preserve">PMC2805705</w:t>
        </w:r>
      </w:hyperlink>
    </w:p>
    <w:bookmarkEnd w:id="101"/>
    <w:bookmarkStart w:id="105"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02">
        <w:r>
          <w:rPr>
            <w:rStyle w:val="Hyperlink"/>
          </w:rPr>
          <w:t xml:space="preserve">https://doi.org/bbpg4n</w:t>
        </w:r>
      </w:hyperlink>
      <w:r>
        <w:t xml:space="preserve"> </w:t>
      </w:r>
      <w:r>
        <w:t xml:space="preserve">DOI:</w:t>
      </w:r>
      <w:r>
        <w:t xml:space="preserve"> </w:t>
      </w:r>
      <w:hyperlink r:id="rId103">
        <w:r>
          <w:rPr>
            <w:rStyle w:val="Hyperlink"/>
          </w:rPr>
          <w:t xml:space="preserve">10.1038/nmeth817</w:t>
        </w:r>
      </w:hyperlink>
      <w:r>
        <w:t xml:space="preserve"> </w:t>
      </w:r>
      <w:r>
        <w:t xml:space="preserve">· PMID:</w:t>
      </w:r>
      <w:r>
        <w:t xml:space="preserve"> </w:t>
      </w:r>
      <w:hyperlink r:id="rId104">
        <w:r>
          <w:rPr>
            <w:rStyle w:val="Hyperlink"/>
          </w:rPr>
          <w:t xml:space="preserve">16299476</w:t>
        </w:r>
      </w:hyperlink>
    </w:p>
    <w:bookmarkEnd w:id="105"/>
    <w:bookmarkStart w:id="109"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06">
        <w:r>
          <w:rPr>
            <w:rStyle w:val="Hyperlink"/>
          </w:rPr>
          <w:t xml:space="preserve">https://doi.org/d6d5mq</w:t>
        </w:r>
      </w:hyperlink>
      <w:r>
        <w:t xml:space="preserve"> </w:t>
      </w:r>
      <w:r>
        <w:t xml:space="preserve">DOI:</w:t>
      </w:r>
      <w:r>
        <w:t xml:space="preserve"> </w:t>
      </w:r>
      <w:hyperlink r:id="rId107">
        <w:r>
          <w:rPr>
            <w:rStyle w:val="Hyperlink"/>
          </w:rPr>
          <w:t xml:space="preserve">10.1038/nrm1861</w:t>
        </w:r>
      </w:hyperlink>
      <w:r>
        <w:t xml:space="preserve"> </w:t>
      </w:r>
      <w:r>
        <w:t xml:space="preserve">· PMID:</w:t>
      </w:r>
      <w:r>
        <w:t xml:space="preserve"> </w:t>
      </w:r>
      <w:hyperlink r:id="rId108">
        <w:r>
          <w:rPr>
            <w:rStyle w:val="Hyperlink"/>
          </w:rPr>
          <w:t xml:space="preserve">16482091</w:t>
        </w:r>
      </w:hyperlink>
    </w:p>
    <w:bookmarkEnd w:id="109"/>
    <w:bookmarkStart w:id="113"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10">
        <w:r>
          <w:rPr>
            <w:rStyle w:val="Hyperlink"/>
          </w:rPr>
          <w:t xml:space="preserve">https://doi.org/bdnzmv</w:t>
        </w:r>
      </w:hyperlink>
      <w:r>
        <w:t xml:space="preserve"> </w:t>
      </w:r>
      <w:r>
        <w:t xml:space="preserve">DOI:</w:t>
      </w:r>
      <w:r>
        <w:t xml:space="preserve"> </w:t>
      </w:r>
      <w:hyperlink r:id="rId111">
        <w:r>
          <w:rPr>
            <w:rStyle w:val="Hyperlink"/>
          </w:rPr>
          <w:t xml:space="preserve">10.1111/j.1365-2818.1983.tb04225.x</w:t>
        </w:r>
      </w:hyperlink>
      <w:r>
        <w:t xml:space="preserve"> </w:t>
      </w:r>
      <w:r>
        <w:t xml:space="preserve">· PMID:</w:t>
      </w:r>
      <w:r>
        <w:t xml:space="preserve"> </w:t>
      </w:r>
      <w:hyperlink r:id="rId112">
        <w:r>
          <w:rPr>
            <w:rStyle w:val="Hyperlink"/>
          </w:rPr>
          <w:t xml:space="preserve">6350598</w:t>
        </w:r>
      </w:hyperlink>
    </w:p>
    <w:bookmarkEnd w:id="113"/>
    <w:bookmarkStart w:id="117"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14">
        <w:r>
          <w:rPr>
            <w:rStyle w:val="Hyperlink"/>
          </w:rPr>
          <w:t xml:space="preserve">https://doi.org/f537jp</w:t>
        </w:r>
      </w:hyperlink>
      <w:r>
        <w:t xml:space="preserve"> </w:t>
      </w:r>
      <w:r>
        <w:t xml:space="preserve">DOI:</w:t>
      </w:r>
      <w:r>
        <w:t xml:space="preserve"> </w:t>
      </w:r>
      <w:hyperlink r:id="rId115">
        <w:r>
          <w:rPr>
            <w:rStyle w:val="Hyperlink"/>
          </w:rPr>
          <w:t xml:space="preserve">10.1016/j.sbi.2013.08.006</w:t>
        </w:r>
      </w:hyperlink>
      <w:r>
        <w:t xml:space="preserve"> </w:t>
      </w:r>
      <w:r>
        <w:t xml:space="preserve">· PMID:</w:t>
      </w:r>
      <w:r>
        <w:t xml:space="preserve"> </w:t>
      </w:r>
      <w:hyperlink r:id="rId116">
        <w:r>
          <w:rPr>
            <w:rStyle w:val="Hyperlink"/>
          </w:rPr>
          <w:t xml:space="preserve">24090931</w:t>
        </w:r>
      </w:hyperlink>
    </w:p>
    <w:bookmarkEnd w:id="117"/>
    <w:bookmarkStart w:id="121"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18">
        <w:r>
          <w:rPr>
            <w:rStyle w:val="Hyperlink"/>
          </w:rPr>
          <w:t xml:space="preserve">https://doi.org/czj9hr</w:t>
        </w:r>
      </w:hyperlink>
      <w:r>
        <w:t xml:space="preserve"> </w:t>
      </w:r>
      <w:r>
        <w:t xml:space="preserve">DOI:</w:t>
      </w:r>
      <w:r>
        <w:t xml:space="preserve"> </w:t>
      </w:r>
      <w:hyperlink r:id="rId119">
        <w:r>
          <w:rPr>
            <w:rStyle w:val="Hyperlink"/>
          </w:rPr>
          <w:t xml:space="preserve">10.1017/s0033583511000102</w:t>
        </w:r>
      </w:hyperlink>
      <w:r>
        <w:t xml:space="preserve"> </w:t>
      </w:r>
      <w:r>
        <w:t xml:space="preserve">· PMID:</w:t>
      </w:r>
      <w:r>
        <w:t xml:space="preserve"> </w:t>
      </w:r>
      <w:hyperlink r:id="rId120">
        <w:r>
          <w:rPr>
            <w:rStyle w:val="Hyperlink"/>
          </w:rPr>
          <w:t xml:space="preserve">22082691</w:t>
        </w:r>
      </w:hyperlink>
    </w:p>
    <w:bookmarkEnd w:id="121"/>
    <w:bookmarkStart w:id="126"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22">
        <w:r>
          <w:rPr>
            <w:rStyle w:val="Hyperlink"/>
          </w:rPr>
          <w:t xml:space="preserve">https://doi.org/gnq4q4</w:t>
        </w:r>
      </w:hyperlink>
      <w:r>
        <w:t xml:space="preserve"> </w:t>
      </w:r>
      <w:r>
        <w:t xml:space="preserve">DOI:</w:t>
      </w:r>
      <w:r>
        <w:t xml:space="preserve"> </w:t>
      </w:r>
      <w:hyperlink r:id="rId123">
        <w:r>
          <w:rPr>
            <w:rStyle w:val="Hyperlink"/>
          </w:rPr>
          <w:t xml:space="preserve">10.7554/elife.25648</w:t>
        </w:r>
      </w:hyperlink>
      <w:r>
        <w:t xml:space="preserve"> </w:t>
      </w:r>
      <w:r>
        <w:t xml:space="preserve">· PMID:</w:t>
      </w:r>
      <w:r>
        <w:t xml:space="preserve"> </w:t>
      </w:r>
      <w:hyperlink r:id="rId124">
        <w:r>
          <w:rPr>
            <w:rStyle w:val="Hyperlink"/>
          </w:rPr>
          <w:t xml:space="preserve">28467302</w:t>
        </w:r>
      </w:hyperlink>
      <w:r>
        <w:t xml:space="preserve"> </w:t>
      </w:r>
      <w:r>
        <w:t xml:space="preserve">· PMCID:</w:t>
      </w:r>
      <w:r>
        <w:t xml:space="preserve"> </w:t>
      </w:r>
      <w:hyperlink r:id="rId125">
        <w:r>
          <w:rPr>
            <w:rStyle w:val="Hyperlink"/>
          </w:rPr>
          <w:t xml:space="preserve">PMC5453696</w:t>
        </w:r>
      </w:hyperlink>
    </w:p>
    <w:bookmarkEnd w:id="126"/>
    <w:bookmarkStart w:id="129"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27">
        <w:r>
          <w:rPr>
            <w:rStyle w:val="Hyperlink"/>
          </w:rPr>
          <w:t xml:space="preserve">https://doi.org/gpbjfd</w:t>
        </w:r>
      </w:hyperlink>
      <w:r>
        <w:t xml:space="preserve"> </w:t>
      </w:r>
      <w:r>
        <w:t xml:space="preserve">DOI:</w:t>
      </w:r>
      <w:r>
        <w:t xml:space="preserve"> </w:t>
      </w:r>
      <w:hyperlink r:id="rId128">
        <w:r>
          <w:rPr>
            <w:rStyle w:val="Hyperlink"/>
          </w:rPr>
          <w:t xml:space="preserve">10.1101/2020.04.22.053868</w:t>
        </w:r>
      </w:hyperlink>
    </w:p>
    <w:bookmarkEnd w:id="129"/>
    <w:bookmarkStart w:id="134"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30">
        <w:r>
          <w:rPr>
            <w:rStyle w:val="Hyperlink"/>
          </w:rPr>
          <w:t xml:space="preserve">https://doi.org/gkkc49</w:t>
        </w:r>
      </w:hyperlink>
      <w:r>
        <w:t xml:space="preserve"> </w:t>
      </w:r>
      <w:r>
        <w:t xml:space="preserve">DOI:</w:t>
      </w:r>
      <w:r>
        <w:t xml:space="preserve"> </w:t>
      </w:r>
      <w:hyperlink r:id="rId131">
        <w:r>
          <w:rPr>
            <w:rStyle w:val="Hyperlink"/>
          </w:rPr>
          <w:t xml:space="preserve">10.7554/elife.68946</w:t>
        </w:r>
      </w:hyperlink>
      <w:r>
        <w:t xml:space="preserve"> </w:t>
      </w:r>
      <w:r>
        <w:t xml:space="preserve">· PMID:</w:t>
      </w:r>
      <w:r>
        <w:t xml:space="preserve"> </w:t>
      </w:r>
      <w:hyperlink r:id="rId132">
        <w:r>
          <w:rPr>
            <w:rStyle w:val="Hyperlink"/>
          </w:rPr>
          <w:t xml:space="preserve">34114559</w:t>
        </w:r>
      </w:hyperlink>
      <w:r>
        <w:t xml:space="preserve"> </w:t>
      </w:r>
      <w:r>
        <w:t xml:space="preserve">· PMCID:</w:t>
      </w:r>
      <w:r>
        <w:t xml:space="preserve"> </w:t>
      </w:r>
      <w:hyperlink r:id="rId133">
        <w:r>
          <w:rPr>
            <w:rStyle w:val="Hyperlink"/>
          </w:rPr>
          <w:t xml:space="preserve">PMC8219381</w:t>
        </w:r>
      </w:hyperlink>
    </w:p>
    <w:bookmarkEnd w:id="134"/>
    <w:bookmarkStart w:id="139"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35">
        <w:r>
          <w:rPr>
            <w:rStyle w:val="Hyperlink"/>
          </w:rPr>
          <w:t xml:space="preserve">https://doi.org/gpbjfm</w:t>
        </w:r>
      </w:hyperlink>
      <w:r>
        <w:t xml:space="preserve"> </w:t>
      </w:r>
      <w:r>
        <w:t xml:space="preserve">DOI:</w:t>
      </w:r>
      <w:r>
        <w:t xml:space="preserve"> </w:t>
      </w:r>
      <w:hyperlink r:id="rId136">
        <w:r>
          <w:rPr>
            <w:rStyle w:val="Hyperlink"/>
          </w:rPr>
          <w:t xml:space="preserve">10.1093/nar/gkz637</w:t>
        </w:r>
      </w:hyperlink>
      <w:r>
        <w:t xml:space="preserve"> </w:t>
      </w:r>
      <w:r>
        <w:t xml:space="preserve">· PMID:</w:t>
      </w:r>
      <w:r>
        <w:t xml:space="preserve"> </w:t>
      </w:r>
      <w:hyperlink r:id="rId137">
        <w:r>
          <w:rPr>
            <w:rStyle w:val="Hyperlink"/>
          </w:rPr>
          <w:t xml:space="preserve">31350888</w:t>
        </w:r>
      </w:hyperlink>
      <w:r>
        <w:t xml:space="preserve"> </w:t>
      </w:r>
      <w:r>
        <w:t xml:space="preserve">· PMCID:</w:t>
      </w:r>
      <w:r>
        <w:t xml:space="preserve"> </w:t>
      </w:r>
      <w:hyperlink r:id="rId138">
        <w:r>
          <w:rPr>
            <w:rStyle w:val="Hyperlink"/>
          </w:rPr>
          <w:t xml:space="preserve">PMC7026650</w:t>
        </w:r>
      </w:hyperlink>
    </w:p>
    <w:bookmarkEnd w:id="139"/>
    <w:bookmarkStart w:id="144"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40">
        <w:r>
          <w:rPr>
            <w:rStyle w:val="Hyperlink"/>
          </w:rPr>
          <w:t xml:space="preserve">https://doi.org/gc87j9</w:t>
        </w:r>
      </w:hyperlink>
      <w:r>
        <w:t xml:space="preserve"> </w:t>
      </w:r>
      <w:r>
        <w:t xml:space="preserve">DOI:</w:t>
      </w:r>
      <w:r>
        <w:t xml:space="preserve"> </w:t>
      </w:r>
      <w:hyperlink r:id="rId141">
        <w:r>
          <w:rPr>
            <w:rStyle w:val="Hyperlink"/>
          </w:rPr>
          <w:t xml:space="preserve">10.1186/s12885-018-4178-z</w:t>
        </w:r>
      </w:hyperlink>
      <w:r>
        <w:t xml:space="preserve"> </w:t>
      </w:r>
      <w:r>
        <w:t xml:space="preserve">· PMID:</w:t>
      </w:r>
      <w:r>
        <w:t xml:space="preserve"> </w:t>
      </w:r>
      <w:hyperlink r:id="rId142">
        <w:r>
          <w:rPr>
            <w:rStyle w:val="Hyperlink"/>
          </w:rPr>
          <w:t xml:space="preserve">29530001</w:t>
        </w:r>
      </w:hyperlink>
      <w:r>
        <w:t xml:space="preserve"> </w:t>
      </w:r>
      <w:r>
        <w:t xml:space="preserve">· PMCID:</w:t>
      </w:r>
      <w:r>
        <w:t xml:space="preserve"> </w:t>
      </w:r>
      <w:hyperlink r:id="rId143">
        <w:r>
          <w:rPr>
            <w:rStyle w:val="Hyperlink"/>
          </w:rPr>
          <w:t xml:space="preserve">PMC5848553</w:t>
        </w:r>
      </w:hyperlink>
    </w:p>
    <w:bookmarkEnd w:id="144"/>
    <w:bookmarkStart w:id="149"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5">
        <w:r>
          <w:rPr>
            <w:rStyle w:val="Hyperlink"/>
          </w:rPr>
          <w:t xml:space="preserve">https://doi.org/f3r5jr</w:t>
        </w:r>
      </w:hyperlink>
      <w:r>
        <w:t xml:space="preserve"> </w:t>
      </w:r>
      <w:r>
        <w:t xml:space="preserve">DOI:</w:t>
      </w:r>
      <w:r>
        <w:t xml:space="preserve"> </w:t>
      </w:r>
      <w:hyperlink r:id="rId146">
        <w:r>
          <w:rPr>
            <w:rStyle w:val="Hyperlink"/>
          </w:rPr>
          <w:t xml:space="preserve">10.1016/j.cell.2016.08.057</w:t>
        </w:r>
      </w:hyperlink>
      <w:r>
        <w:t xml:space="preserve"> </w:t>
      </w:r>
      <w:r>
        <w:t xml:space="preserve">· PMID:</w:t>
      </w:r>
      <w:r>
        <w:t xml:space="preserve"> </w:t>
      </w:r>
      <w:hyperlink r:id="rId147">
        <w:r>
          <w:rPr>
            <w:rStyle w:val="Hyperlink"/>
          </w:rPr>
          <w:t xml:space="preserve">27641501</w:t>
        </w:r>
      </w:hyperlink>
      <w:r>
        <w:t xml:space="preserve"> </w:t>
      </w:r>
      <w:r>
        <w:t xml:space="preserve">· PMCID:</w:t>
      </w:r>
      <w:r>
        <w:t xml:space="preserve"> </w:t>
      </w:r>
      <w:hyperlink r:id="rId148">
        <w:r>
          <w:rPr>
            <w:rStyle w:val="Hyperlink"/>
          </w:rPr>
          <w:t xml:space="preserve">PMC7360335</w:t>
        </w:r>
      </w:hyperlink>
    </w:p>
    <w:bookmarkEnd w:id="149"/>
    <w:bookmarkEnd w:id="150"/>
    <w:bookmarkEnd w:id="151"/>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svg" /><Relationship Type="http://schemas.openxmlformats.org/officeDocument/2006/relationships/image" Id="rId91" Target="media/rId91.svg" /><Relationship Type="http://schemas.openxmlformats.org/officeDocument/2006/relationships/image" Id="rId76" Target="media/rId76.svg" /><Relationship Type="http://schemas.openxmlformats.org/officeDocument/2006/relationships/image" Id="rId81" Target="media/rId81.svg" /><Relationship Type="http://schemas.openxmlformats.org/officeDocument/2006/relationships/image" Id="rId56" Target="media/rId56.svg" /><Relationship Type="http://schemas.openxmlformats.org/officeDocument/2006/relationships/image" Id="rId61" Target="media/rId61.svg" /><Relationship Type="http://schemas.openxmlformats.org/officeDocument/2006/relationships/image" Id="rId71" Target="media/rId71.svg" /><Relationship Type="http://schemas.openxmlformats.org/officeDocument/2006/relationships/image" Id="rId86" Target="media/rId86.sv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hyperlink" Id="rId146" Target="https://doi.org/10.1016/j.cell.2016.08.057" TargetMode="External" /><Relationship Type="http://schemas.openxmlformats.org/officeDocument/2006/relationships/hyperlink" Id="rId115" Target="https://doi.org/10.1016/j.sbi.2013.08.006" TargetMode="External" /><Relationship Type="http://schemas.openxmlformats.org/officeDocument/2006/relationships/hyperlink" Id="rId119" Target="https://doi.org/10.1017/s0033583511000102" TargetMode="External" /><Relationship Type="http://schemas.openxmlformats.org/officeDocument/2006/relationships/hyperlink" Id="rId98" Target="https://doi.org/10.1038/nbt.1592" TargetMode="External" /><Relationship Type="http://schemas.openxmlformats.org/officeDocument/2006/relationships/hyperlink" Id="rId103" Target="https://doi.org/10.1038/nmeth817" TargetMode="External" /><Relationship Type="http://schemas.openxmlformats.org/officeDocument/2006/relationships/hyperlink" Id="rId107" Target="https://doi.org/10.1038/nrm1861" TargetMode="External" /><Relationship Type="http://schemas.openxmlformats.org/officeDocument/2006/relationships/hyperlink" Id="rId136" Target="https://doi.org/10.1093/nar/gkz637" TargetMode="External" /><Relationship Type="http://schemas.openxmlformats.org/officeDocument/2006/relationships/hyperlink" Id="rId128" Target="https://doi.org/10.1101/2020.04.22.053868" TargetMode="External" /><Relationship Type="http://schemas.openxmlformats.org/officeDocument/2006/relationships/hyperlink" Id="rId111" Target="https://doi.org/10.1111/j.1365-2818.1983.tb04225.x" TargetMode="External" /><Relationship Type="http://schemas.openxmlformats.org/officeDocument/2006/relationships/hyperlink" Id="rId141" Target="https://doi.org/10.1186/s12885-018-4178-z" TargetMode="External" /><Relationship Type="http://schemas.openxmlformats.org/officeDocument/2006/relationships/hyperlink" Id="rId123" Target="https://doi.org/10.7554/elife.25648" TargetMode="External" /><Relationship Type="http://schemas.openxmlformats.org/officeDocument/2006/relationships/hyperlink" Id="rId131" Target="https://doi.org/10.7554/elife.68946" TargetMode="External" /><Relationship Type="http://schemas.openxmlformats.org/officeDocument/2006/relationships/hyperlink" Id="rId102" Target="https://doi.org/bbpg4n" TargetMode="External" /><Relationship Type="http://schemas.openxmlformats.org/officeDocument/2006/relationships/hyperlink" Id="rId110" Target="https://doi.org/bdnzmv" TargetMode="External" /><Relationship Type="http://schemas.openxmlformats.org/officeDocument/2006/relationships/hyperlink" Id="rId118" Target="https://doi.org/czj9hr" TargetMode="External" /><Relationship Type="http://schemas.openxmlformats.org/officeDocument/2006/relationships/hyperlink" Id="rId106" Target="https://doi.org/d6d5mq" TargetMode="External" /><Relationship Type="http://schemas.openxmlformats.org/officeDocument/2006/relationships/hyperlink" Id="rId145" Target="https://doi.org/f3r5jr" TargetMode="External" /><Relationship Type="http://schemas.openxmlformats.org/officeDocument/2006/relationships/hyperlink" Id="rId114" Target="https://doi.org/f537jp" TargetMode="External" /><Relationship Type="http://schemas.openxmlformats.org/officeDocument/2006/relationships/hyperlink" Id="rId97" Target="https://doi.org/fshgnc" TargetMode="External" /><Relationship Type="http://schemas.openxmlformats.org/officeDocument/2006/relationships/hyperlink" Id="rId140" Target="https://doi.org/gc87j9" TargetMode="External" /><Relationship Type="http://schemas.openxmlformats.org/officeDocument/2006/relationships/hyperlink" Id="rId130" Target="https://doi.org/gkkc49" TargetMode="External" /><Relationship Type="http://schemas.openxmlformats.org/officeDocument/2006/relationships/hyperlink" Id="rId122" Target="https://doi.org/gnq4q4" TargetMode="External" /><Relationship Type="http://schemas.openxmlformats.org/officeDocument/2006/relationships/hyperlink" Id="rId127" Target="https://doi.org/gpbjfd" TargetMode="External" /><Relationship Type="http://schemas.openxmlformats.org/officeDocument/2006/relationships/hyperlink" Id="rId135"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7e5fee3254041c2c66855e84f72b36c476ba1cb0"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7e5fee3254041c2c66855e84f72b36c476ba1cb0/"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0" Target="https://www.ncbi.nlm.nih.gov/pmc/articles/PMC2805705" TargetMode="External" /><Relationship Type="http://schemas.openxmlformats.org/officeDocument/2006/relationships/hyperlink" Id="rId125" Target="https://www.ncbi.nlm.nih.gov/pmc/articles/PMC5453696" TargetMode="External" /><Relationship Type="http://schemas.openxmlformats.org/officeDocument/2006/relationships/hyperlink" Id="rId143" Target="https://www.ncbi.nlm.nih.gov/pmc/articles/PMC5848553" TargetMode="External" /><Relationship Type="http://schemas.openxmlformats.org/officeDocument/2006/relationships/hyperlink" Id="rId138" Target="https://www.ncbi.nlm.nih.gov/pmc/articles/PMC7026650" TargetMode="External" /><Relationship Type="http://schemas.openxmlformats.org/officeDocument/2006/relationships/hyperlink" Id="rId148" Target="https://www.ncbi.nlm.nih.gov/pmc/articles/PMC7360335" TargetMode="External" /><Relationship Type="http://schemas.openxmlformats.org/officeDocument/2006/relationships/hyperlink" Id="rId133" Target="https://www.ncbi.nlm.nih.gov/pmc/articles/PMC8219381" TargetMode="External" /><Relationship Type="http://schemas.openxmlformats.org/officeDocument/2006/relationships/hyperlink" Id="rId104" Target="https://www.ncbi.nlm.nih.gov/pubmed/16299476" TargetMode="External" /><Relationship Type="http://schemas.openxmlformats.org/officeDocument/2006/relationships/hyperlink" Id="rId108" Target="https://www.ncbi.nlm.nih.gov/pubmed/16482091" TargetMode="External" /><Relationship Type="http://schemas.openxmlformats.org/officeDocument/2006/relationships/hyperlink" Id="rId99" Target="https://www.ncbi.nlm.nih.gov/pubmed/20010810" TargetMode="External" /><Relationship Type="http://schemas.openxmlformats.org/officeDocument/2006/relationships/hyperlink" Id="rId120" Target="https://www.ncbi.nlm.nih.gov/pubmed/22082691" TargetMode="External" /><Relationship Type="http://schemas.openxmlformats.org/officeDocument/2006/relationships/hyperlink" Id="rId116" Target="https://www.ncbi.nlm.nih.gov/pubmed/24090931" TargetMode="External" /><Relationship Type="http://schemas.openxmlformats.org/officeDocument/2006/relationships/hyperlink" Id="rId147" Target="https://www.ncbi.nlm.nih.gov/pubmed/27641501" TargetMode="External" /><Relationship Type="http://schemas.openxmlformats.org/officeDocument/2006/relationships/hyperlink" Id="rId124" Target="https://www.ncbi.nlm.nih.gov/pubmed/28467302" TargetMode="External" /><Relationship Type="http://schemas.openxmlformats.org/officeDocument/2006/relationships/hyperlink" Id="rId142" Target="https://www.ncbi.nlm.nih.gov/pubmed/29530001" TargetMode="External" /><Relationship Type="http://schemas.openxmlformats.org/officeDocument/2006/relationships/hyperlink" Id="rId137" Target="https://www.ncbi.nlm.nih.gov/pubmed/31350888" TargetMode="External" /><Relationship Type="http://schemas.openxmlformats.org/officeDocument/2006/relationships/hyperlink" Id="rId132" Target="https://www.ncbi.nlm.nih.gov/pubmed/34114559" TargetMode="External" /><Relationship Type="http://schemas.openxmlformats.org/officeDocument/2006/relationships/hyperlink" Id="rId112"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46" Target="https://doi.org/10.1016/j.cell.2016.08.057" TargetMode="External" /><Relationship Type="http://schemas.openxmlformats.org/officeDocument/2006/relationships/hyperlink" Id="rId115" Target="https://doi.org/10.1016/j.sbi.2013.08.006" TargetMode="External" /><Relationship Type="http://schemas.openxmlformats.org/officeDocument/2006/relationships/hyperlink" Id="rId119" Target="https://doi.org/10.1017/s0033583511000102" TargetMode="External" /><Relationship Type="http://schemas.openxmlformats.org/officeDocument/2006/relationships/hyperlink" Id="rId98" Target="https://doi.org/10.1038/nbt.1592" TargetMode="External" /><Relationship Type="http://schemas.openxmlformats.org/officeDocument/2006/relationships/hyperlink" Id="rId103" Target="https://doi.org/10.1038/nmeth817" TargetMode="External" /><Relationship Type="http://schemas.openxmlformats.org/officeDocument/2006/relationships/hyperlink" Id="rId107" Target="https://doi.org/10.1038/nrm1861" TargetMode="External" /><Relationship Type="http://schemas.openxmlformats.org/officeDocument/2006/relationships/hyperlink" Id="rId136" Target="https://doi.org/10.1093/nar/gkz637" TargetMode="External" /><Relationship Type="http://schemas.openxmlformats.org/officeDocument/2006/relationships/hyperlink" Id="rId128" Target="https://doi.org/10.1101/2020.04.22.053868" TargetMode="External" /><Relationship Type="http://schemas.openxmlformats.org/officeDocument/2006/relationships/hyperlink" Id="rId111" Target="https://doi.org/10.1111/j.1365-2818.1983.tb04225.x" TargetMode="External" /><Relationship Type="http://schemas.openxmlformats.org/officeDocument/2006/relationships/hyperlink" Id="rId141" Target="https://doi.org/10.1186/s12885-018-4178-z" TargetMode="External" /><Relationship Type="http://schemas.openxmlformats.org/officeDocument/2006/relationships/hyperlink" Id="rId123" Target="https://doi.org/10.7554/elife.25648" TargetMode="External" /><Relationship Type="http://schemas.openxmlformats.org/officeDocument/2006/relationships/hyperlink" Id="rId131" Target="https://doi.org/10.7554/elife.68946" TargetMode="External" /><Relationship Type="http://schemas.openxmlformats.org/officeDocument/2006/relationships/hyperlink" Id="rId102" Target="https://doi.org/bbpg4n" TargetMode="External" /><Relationship Type="http://schemas.openxmlformats.org/officeDocument/2006/relationships/hyperlink" Id="rId110" Target="https://doi.org/bdnzmv" TargetMode="External" /><Relationship Type="http://schemas.openxmlformats.org/officeDocument/2006/relationships/hyperlink" Id="rId118" Target="https://doi.org/czj9hr" TargetMode="External" /><Relationship Type="http://schemas.openxmlformats.org/officeDocument/2006/relationships/hyperlink" Id="rId106" Target="https://doi.org/d6d5mq" TargetMode="External" /><Relationship Type="http://schemas.openxmlformats.org/officeDocument/2006/relationships/hyperlink" Id="rId145" Target="https://doi.org/f3r5jr" TargetMode="External" /><Relationship Type="http://schemas.openxmlformats.org/officeDocument/2006/relationships/hyperlink" Id="rId114" Target="https://doi.org/f537jp" TargetMode="External" /><Relationship Type="http://schemas.openxmlformats.org/officeDocument/2006/relationships/hyperlink" Id="rId97" Target="https://doi.org/fshgnc" TargetMode="External" /><Relationship Type="http://schemas.openxmlformats.org/officeDocument/2006/relationships/hyperlink" Id="rId140" Target="https://doi.org/gc87j9" TargetMode="External" /><Relationship Type="http://schemas.openxmlformats.org/officeDocument/2006/relationships/hyperlink" Id="rId130" Target="https://doi.org/gkkc49" TargetMode="External" /><Relationship Type="http://schemas.openxmlformats.org/officeDocument/2006/relationships/hyperlink" Id="rId122" Target="https://doi.org/gnq4q4" TargetMode="External" /><Relationship Type="http://schemas.openxmlformats.org/officeDocument/2006/relationships/hyperlink" Id="rId127" Target="https://doi.org/gpbjfd" TargetMode="External" /><Relationship Type="http://schemas.openxmlformats.org/officeDocument/2006/relationships/hyperlink" Id="rId135"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7e5fee3254041c2c66855e84f72b36c476ba1cb0"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7e5fee3254041c2c66855e84f72b36c476ba1cb0/"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0" Target="https://www.ncbi.nlm.nih.gov/pmc/articles/PMC2805705" TargetMode="External" /><Relationship Type="http://schemas.openxmlformats.org/officeDocument/2006/relationships/hyperlink" Id="rId125" Target="https://www.ncbi.nlm.nih.gov/pmc/articles/PMC5453696" TargetMode="External" /><Relationship Type="http://schemas.openxmlformats.org/officeDocument/2006/relationships/hyperlink" Id="rId143" Target="https://www.ncbi.nlm.nih.gov/pmc/articles/PMC5848553" TargetMode="External" /><Relationship Type="http://schemas.openxmlformats.org/officeDocument/2006/relationships/hyperlink" Id="rId138" Target="https://www.ncbi.nlm.nih.gov/pmc/articles/PMC7026650" TargetMode="External" /><Relationship Type="http://schemas.openxmlformats.org/officeDocument/2006/relationships/hyperlink" Id="rId148" Target="https://www.ncbi.nlm.nih.gov/pmc/articles/PMC7360335" TargetMode="External" /><Relationship Type="http://schemas.openxmlformats.org/officeDocument/2006/relationships/hyperlink" Id="rId133" Target="https://www.ncbi.nlm.nih.gov/pmc/articles/PMC8219381" TargetMode="External" /><Relationship Type="http://schemas.openxmlformats.org/officeDocument/2006/relationships/hyperlink" Id="rId104" Target="https://www.ncbi.nlm.nih.gov/pubmed/16299476" TargetMode="External" /><Relationship Type="http://schemas.openxmlformats.org/officeDocument/2006/relationships/hyperlink" Id="rId108" Target="https://www.ncbi.nlm.nih.gov/pubmed/16482091" TargetMode="External" /><Relationship Type="http://schemas.openxmlformats.org/officeDocument/2006/relationships/hyperlink" Id="rId99" Target="https://www.ncbi.nlm.nih.gov/pubmed/20010810" TargetMode="External" /><Relationship Type="http://schemas.openxmlformats.org/officeDocument/2006/relationships/hyperlink" Id="rId120" Target="https://www.ncbi.nlm.nih.gov/pubmed/22082691" TargetMode="External" /><Relationship Type="http://schemas.openxmlformats.org/officeDocument/2006/relationships/hyperlink" Id="rId116" Target="https://www.ncbi.nlm.nih.gov/pubmed/24090931" TargetMode="External" /><Relationship Type="http://schemas.openxmlformats.org/officeDocument/2006/relationships/hyperlink" Id="rId147" Target="https://www.ncbi.nlm.nih.gov/pubmed/27641501" TargetMode="External" /><Relationship Type="http://schemas.openxmlformats.org/officeDocument/2006/relationships/hyperlink" Id="rId124" Target="https://www.ncbi.nlm.nih.gov/pubmed/28467302" TargetMode="External" /><Relationship Type="http://schemas.openxmlformats.org/officeDocument/2006/relationships/hyperlink" Id="rId142" Target="https://www.ncbi.nlm.nih.gov/pubmed/29530001" TargetMode="External" /><Relationship Type="http://schemas.openxmlformats.org/officeDocument/2006/relationships/hyperlink" Id="rId137" Target="https://www.ncbi.nlm.nih.gov/pubmed/31350888" TargetMode="External" /><Relationship Type="http://schemas.openxmlformats.org/officeDocument/2006/relationships/hyperlink" Id="rId132" Target="https://www.ncbi.nlm.nih.gov/pubmed/34114559" TargetMode="External" /><Relationship Type="http://schemas.openxmlformats.org/officeDocument/2006/relationships/hyperlink" Id="rId112"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2022-03-09T00:59:33Z</dcterms:created>
  <dcterms:modified xsi:type="dcterms:W3CDTF">2022-03-09T00:59:33Z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